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6175" w14:textId="7104267D" w:rsidR="00643CC3" w:rsidRPr="007230B2" w:rsidRDefault="005F2A8B" w:rsidP="005F2A8B">
      <w:pPr>
        <w:spacing w:line="240" w:lineRule="auto"/>
        <w:jc w:val="right"/>
        <w:rPr>
          <w:rFonts w:ascii="Calibri" w:hAnsi="Calibri"/>
          <w:b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 xml:space="preserve"> [●] LUGAR Y FECHA DE EXPEDICIÓN</w:t>
      </w:r>
      <w:r w:rsidRPr="007230B2">
        <w:rPr>
          <w:rFonts w:ascii="Calibri" w:hAnsi="Calibri"/>
          <w:b/>
          <w:spacing w:val="6"/>
          <w:sz w:val="22"/>
          <w:szCs w:val="20"/>
        </w:rPr>
        <w:t xml:space="preserve"> </w:t>
      </w: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67EDA0E4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713E55">
        <w:rPr>
          <w:rFonts w:ascii="Calibri" w:hAnsi="Calibri"/>
          <w:b/>
          <w:bCs/>
          <w:spacing w:val="6"/>
          <w:sz w:val="22"/>
          <w:szCs w:val="20"/>
        </w:rPr>
        <w:t>3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3C33FA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1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31A881E9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684DD3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713E55">
        <w:rPr>
          <w:rFonts w:ascii="Calibri" w:hAnsi="Calibri"/>
          <w:spacing w:val="6"/>
          <w:sz w:val="22"/>
          <w:szCs w:val="20"/>
        </w:rPr>
        <w:t>3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3C33FA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713E55">
        <w:rPr>
          <w:rFonts w:ascii="Calibri" w:hAnsi="Calibri"/>
          <w:spacing w:val="6"/>
          <w:sz w:val="22"/>
          <w:szCs w:val="20"/>
        </w:rPr>
        <w:t>17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713E55">
        <w:rPr>
          <w:rFonts w:ascii="Calibri" w:hAnsi="Calibri"/>
          <w:spacing w:val="6"/>
          <w:sz w:val="22"/>
          <w:szCs w:val="20"/>
        </w:rPr>
        <w:t>mayo</w:t>
      </w:r>
      <w:r w:rsidRPr="007230B2">
        <w:rPr>
          <w:rFonts w:ascii="Calibri" w:hAnsi="Calibri"/>
          <w:spacing w:val="6"/>
          <w:sz w:val="22"/>
          <w:szCs w:val="20"/>
        </w:rPr>
        <w:t xml:space="preserve"> de 202</w:t>
      </w:r>
      <w:r w:rsidR="003C33FA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1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240921C5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713E5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sexta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rédito </w:t>
            </w:r>
            <w:r w:rsidR="00E65E4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7 de febrero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1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3825C46F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713E55" w:rsidRPr="007373E3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$35’389,849.57 </w:t>
            </w:r>
            <w:r w:rsidR="00713E55" w:rsidRPr="007373E3">
              <w:rPr>
                <w:rFonts w:ascii="Calibri" w:eastAsia="Arial" w:hAnsi="Calibri"/>
                <w:spacing w:val="6"/>
                <w:sz w:val="22"/>
              </w:rPr>
              <w:t>(treinta y cinco millones trescientos ochenta y nueve mil ochocientos cuarenta y nueve pesos</w:t>
            </w:r>
            <w:r w:rsidR="00713E55" w:rsidRPr="007373E3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 57/100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713E5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sexta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entendido 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6AB7A92A" w:rsidR="00643CC3" w:rsidRPr="00D75CBA" w:rsidRDefault="00713E55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13E5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5,056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713E5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cinco mil cincuenta y seis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4D8F0250" w:rsidR="00643CC3" w:rsidRPr="00D75CBA" w:rsidRDefault="00713E55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02 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de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junio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="00F65B03" w:rsidRP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32D939D1" w:rsidR="00643CC3" w:rsidRPr="00D75CBA" w:rsidRDefault="005C3C6D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0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5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="00D75CBA" w:rsidRPr="00D75CBA">
              <w:rPr>
                <w:rFonts w:ascii="Calibri" w:hAnsi="Calibri"/>
                <w:spacing w:val="6"/>
                <w:sz w:val="22"/>
                <w:szCs w:val="18"/>
              </w:rPr>
              <w:t>abril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1A0794CB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1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58485F9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1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20057D48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A86AA0" w:rsidRPr="005A2238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$</w:t>
            </w:r>
            <w:r w:rsidR="00A86AA0" w:rsidRPr="005A2238">
              <w:rPr>
                <w:rFonts w:ascii="Calibri" w:hAnsi="Calibri" w:cs="Calibri"/>
                <w:color w:val="000000"/>
                <w:sz w:val="22"/>
                <w:szCs w:val="22"/>
                <w:lang w:eastAsia="es-MX"/>
              </w:rPr>
              <w:t>362,914,800.47</w:t>
            </w:r>
            <w:r w:rsidR="00A86AA0" w:rsidRPr="005A2238">
              <w:rPr>
                <w:rFonts w:ascii="Calibri" w:hAnsi="Calibri"/>
                <w:spacing w:val="6"/>
                <w:sz w:val="22"/>
                <w:szCs w:val="22"/>
              </w:rPr>
              <w:t xml:space="preserve">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="00A86AA0">
              <w:rPr>
                <w:rFonts w:ascii="Calibri" w:hAnsi="Calibri"/>
                <w:spacing w:val="6"/>
                <w:sz w:val="22"/>
                <w:szCs w:val="20"/>
              </w:rPr>
              <w:t xml:space="preserve">trescientos sesenta y dos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millones novecientos catorce mil ochocientos 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pesos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47</w:t>
            </w:r>
            <w:r w:rsidR="00A86AA0" w:rsidRPr="009F1EB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453CE343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1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A86AA0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4C41E346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="00A86AA0" w:rsidRPr="00A86AA0">
              <w:rPr>
                <w:rFonts w:ascii="Calibri" w:hAnsi="Calibri"/>
                <w:spacing w:val="6"/>
                <w:sz w:val="22"/>
              </w:rPr>
              <w:t xml:space="preserve">2.70% (dos punto setenta por ciento)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</w:t>
            </w:r>
            <w:r w:rsidR="00A86AA0" w:rsidRPr="00A86AA0">
              <w:rPr>
                <w:rFonts w:ascii="Calibri" w:eastAsia="Arial" w:hAnsi="Calibri"/>
                <w:spacing w:val="6"/>
                <w:sz w:val="22"/>
              </w:rPr>
              <w:t>$54’396,846.76 (cincuenta y cuatro millones trescientos noventa y seis mil ochocientos cuarenta y seis pesos 76/100 M.N.)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4E4636C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4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62EAF99A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8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394538D8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lastRenderedPageBreak/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(ii)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 xml:space="preserve">(iii)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(iv)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6D3F5E">
      <w:pPr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C6F24" w14:textId="77777777" w:rsidR="006D3F5E" w:rsidRDefault="006D3F5E">
      <w:pPr>
        <w:spacing w:line="240" w:lineRule="auto"/>
      </w:pPr>
      <w:r>
        <w:separator/>
      </w:r>
    </w:p>
  </w:endnote>
  <w:endnote w:type="continuationSeparator" w:id="0">
    <w:p w14:paraId="78A292CF" w14:textId="77777777" w:rsidR="006D3F5E" w:rsidRDefault="006D3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1099468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CD2A17" w:rsidRPr="00CD2A17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52EE" w14:textId="77777777" w:rsidR="006D3F5E" w:rsidRDefault="006D3F5E">
      <w:pPr>
        <w:spacing w:line="240" w:lineRule="auto"/>
      </w:pPr>
      <w:r>
        <w:separator/>
      </w:r>
    </w:p>
  </w:footnote>
  <w:footnote w:type="continuationSeparator" w:id="0">
    <w:p w14:paraId="2D881947" w14:textId="77777777" w:rsidR="006D3F5E" w:rsidRDefault="006D3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1950F9"/>
    <w:rsid w:val="001D3CFD"/>
    <w:rsid w:val="001E5A7D"/>
    <w:rsid w:val="002029B9"/>
    <w:rsid w:val="0026668F"/>
    <w:rsid w:val="002A6A93"/>
    <w:rsid w:val="002C1D10"/>
    <w:rsid w:val="002D028E"/>
    <w:rsid w:val="00312C00"/>
    <w:rsid w:val="003507B5"/>
    <w:rsid w:val="00373A36"/>
    <w:rsid w:val="003C33FA"/>
    <w:rsid w:val="003C6223"/>
    <w:rsid w:val="003F11CD"/>
    <w:rsid w:val="004411C3"/>
    <w:rsid w:val="0046374D"/>
    <w:rsid w:val="00475D9F"/>
    <w:rsid w:val="004B7B56"/>
    <w:rsid w:val="004C3A2E"/>
    <w:rsid w:val="00530CA7"/>
    <w:rsid w:val="005C3C6D"/>
    <w:rsid w:val="005D7064"/>
    <w:rsid w:val="005F2A8B"/>
    <w:rsid w:val="00643CC3"/>
    <w:rsid w:val="00664E96"/>
    <w:rsid w:val="00684DD3"/>
    <w:rsid w:val="006D3F5E"/>
    <w:rsid w:val="00713E55"/>
    <w:rsid w:val="0071472B"/>
    <w:rsid w:val="00735A7B"/>
    <w:rsid w:val="00873400"/>
    <w:rsid w:val="00886D76"/>
    <w:rsid w:val="00985B64"/>
    <w:rsid w:val="00A86AA0"/>
    <w:rsid w:val="00AC2FB6"/>
    <w:rsid w:val="00B13296"/>
    <w:rsid w:val="00B517DE"/>
    <w:rsid w:val="00C226E0"/>
    <w:rsid w:val="00C44216"/>
    <w:rsid w:val="00C453D1"/>
    <w:rsid w:val="00C53960"/>
    <w:rsid w:val="00C74117"/>
    <w:rsid w:val="00C9371F"/>
    <w:rsid w:val="00CD2A17"/>
    <w:rsid w:val="00D75CBA"/>
    <w:rsid w:val="00DC673E"/>
    <w:rsid w:val="00DC7496"/>
    <w:rsid w:val="00E00C28"/>
    <w:rsid w:val="00E65E45"/>
    <w:rsid w:val="00F65B03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3</cp:revision>
  <dcterms:created xsi:type="dcterms:W3CDTF">2021-05-20T19:11:00Z</dcterms:created>
  <dcterms:modified xsi:type="dcterms:W3CDTF">2021-05-20T19:15:00Z</dcterms:modified>
</cp:coreProperties>
</file>